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EC" w:rsidRPr="00FD428A" w:rsidRDefault="00A43DEC" w:rsidP="00A43DEC">
      <w:pPr>
        <w:tabs>
          <w:tab w:val="clear" w:pos="5670"/>
        </w:tabs>
        <w:autoSpaceDE w:val="0"/>
        <w:autoSpaceDN w:val="0"/>
        <w:adjustRightInd w:val="0"/>
        <w:rPr>
          <w:b/>
          <w:bCs/>
          <w:sz w:val="24"/>
          <w:szCs w:val="24"/>
        </w:rPr>
      </w:pPr>
      <w:bookmarkStart w:id="0" w:name="_GoBack"/>
      <w:bookmarkEnd w:id="0"/>
      <w:r>
        <w:rPr>
          <w:b/>
          <w:bCs/>
          <w:sz w:val="24"/>
          <w:szCs w:val="24"/>
        </w:rPr>
        <w:t>Vedlegg: Kort om de viktigste endringene i forslaget til ny PORT-rapportering</w:t>
      </w:r>
    </w:p>
    <w:p w:rsidR="00A43DEC" w:rsidRDefault="00A43DEC" w:rsidP="00A43DEC">
      <w:pPr>
        <w:tabs>
          <w:tab w:val="clear" w:pos="5670"/>
        </w:tabs>
        <w:autoSpaceDE w:val="0"/>
        <w:autoSpaceDN w:val="0"/>
        <w:adjustRightInd w:val="0"/>
        <w:rPr>
          <w:bCs/>
          <w:sz w:val="24"/>
          <w:szCs w:val="24"/>
        </w:rPr>
      </w:pPr>
    </w:p>
    <w:p w:rsidR="00A43DEC" w:rsidRDefault="00A43DEC" w:rsidP="00A43DEC">
      <w:pPr>
        <w:tabs>
          <w:tab w:val="clear" w:pos="5670"/>
        </w:tabs>
        <w:autoSpaceDE w:val="0"/>
        <w:autoSpaceDN w:val="0"/>
        <w:adjustRightInd w:val="0"/>
        <w:rPr>
          <w:bCs/>
          <w:sz w:val="24"/>
          <w:szCs w:val="24"/>
        </w:rPr>
      </w:pPr>
      <w:r>
        <w:rPr>
          <w:bCs/>
          <w:sz w:val="24"/>
          <w:szCs w:val="24"/>
        </w:rPr>
        <w:t>Generelt er alle koder foreslått endret.  Videre er strukturen endret for noen av rapportene og spesifika</w:t>
      </w:r>
      <w:r>
        <w:rPr>
          <w:bCs/>
          <w:sz w:val="24"/>
          <w:szCs w:val="24"/>
        </w:rPr>
        <w:softHyphen/>
        <w:t xml:space="preserve">sjonene, og det er foreslått at postene fordeles på fire rapporter, mot tre i dag.  En del spesifikasjoner utgår, men andre kommer til.  </w:t>
      </w:r>
    </w:p>
    <w:p w:rsidR="00A43DEC" w:rsidRDefault="00A43DEC" w:rsidP="00A43DEC">
      <w:pPr>
        <w:tabs>
          <w:tab w:val="clear" w:pos="5670"/>
        </w:tabs>
        <w:autoSpaceDE w:val="0"/>
        <w:autoSpaceDN w:val="0"/>
        <w:adjustRightInd w:val="0"/>
        <w:rPr>
          <w:bCs/>
          <w:sz w:val="24"/>
          <w:szCs w:val="24"/>
        </w:rPr>
      </w:pPr>
    </w:p>
    <w:p w:rsidR="00A43DEC" w:rsidRDefault="00A43DEC" w:rsidP="00A43DEC">
      <w:pPr>
        <w:tabs>
          <w:tab w:val="clear" w:pos="5670"/>
        </w:tabs>
        <w:rPr>
          <w:b/>
          <w:bCs/>
          <w:i/>
          <w:sz w:val="24"/>
          <w:szCs w:val="24"/>
        </w:rPr>
      </w:pPr>
      <w:r>
        <w:rPr>
          <w:b/>
          <w:bCs/>
          <w:i/>
          <w:sz w:val="24"/>
          <w:szCs w:val="24"/>
        </w:rPr>
        <w:t>Hyppighet og frister:</w:t>
      </w:r>
    </w:p>
    <w:p w:rsidR="00A43DEC" w:rsidRDefault="00A43DEC" w:rsidP="00A43DEC">
      <w:pPr>
        <w:tabs>
          <w:tab w:val="clear" w:pos="5670"/>
        </w:tabs>
        <w:rPr>
          <w:bCs/>
          <w:sz w:val="24"/>
          <w:szCs w:val="24"/>
        </w:rPr>
      </w:pPr>
      <w:r>
        <w:rPr>
          <w:bCs/>
          <w:sz w:val="24"/>
          <w:szCs w:val="24"/>
        </w:rPr>
        <w:t xml:space="preserve">Det foreslås fortsatt kun </w:t>
      </w:r>
      <w:proofErr w:type="spellStart"/>
      <w:r>
        <w:rPr>
          <w:bCs/>
          <w:sz w:val="24"/>
          <w:szCs w:val="24"/>
        </w:rPr>
        <w:t>årsrapportering</w:t>
      </w:r>
      <w:proofErr w:type="spellEnd"/>
      <w:r>
        <w:rPr>
          <w:bCs/>
          <w:sz w:val="24"/>
          <w:szCs w:val="24"/>
        </w:rPr>
        <w:t xml:space="preserve"> og fristen for rapporteringen vil fortsatt være 31. mars, som i dag.  </w:t>
      </w:r>
    </w:p>
    <w:p w:rsidR="00A43DEC" w:rsidRDefault="00A43DEC" w:rsidP="00A43DEC">
      <w:pPr>
        <w:tabs>
          <w:tab w:val="clear" w:pos="5670"/>
        </w:tabs>
        <w:rPr>
          <w:b/>
          <w:bCs/>
          <w:i/>
          <w:sz w:val="24"/>
          <w:szCs w:val="24"/>
        </w:rPr>
      </w:pPr>
    </w:p>
    <w:p w:rsidR="00A43DEC" w:rsidRPr="00D20490" w:rsidRDefault="00A43DEC" w:rsidP="00A43DEC">
      <w:pPr>
        <w:tabs>
          <w:tab w:val="clear" w:pos="5670"/>
        </w:tabs>
        <w:autoSpaceDE w:val="0"/>
        <w:autoSpaceDN w:val="0"/>
        <w:adjustRightInd w:val="0"/>
        <w:rPr>
          <w:color w:val="000000"/>
          <w:sz w:val="24"/>
          <w:szCs w:val="24"/>
        </w:rPr>
      </w:pPr>
      <w:r>
        <w:rPr>
          <w:b/>
          <w:i/>
          <w:color w:val="000000"/>
          <w:sz w:val="24"/>
          <w:szCs w:val="24"/>
        </w:rPr>
        <w:t>Veiledning:</w:t>
      </w:r>
    </w:p>
    <w:p w:rsidR="00A43DEC" w:rsidRDefault="00A43DEC" w:rsidP="00A43DEC">
      <w:pPr>
        <w:tabs>
          <w:tab w:val="clear" w:pos="5670"/>
        </w:tabs>
        <w:autoSpaceDE w:val="0"/>
        <w:autoSpaceDN w:val="0"/>
        <w:adjustRightInd w:val="0"/>
        <w:rPr>
          <w:color w:val="000000"/>
          <w:sz w:val="24"/>
          <w:szCs w:val="24"/>
        </w:rPr>
      </w:pPr>
      <w:r>
        <w:rPr>
          <w:color w:val="000000"/>
          <w:sz w:val="24"/>
          <w:szCs w:val="24"/>
        </w:rPr>
        <w:t xml:space="preserve">Dagens generelle veiledning, veiledning til postene og statistiske kjennetegn forslås slått sammen i ett dokument.  Det foreligger et utkast til veiledning som ikke er helt ferdigstilt, og som derfor er heftet med uklarheter og feil.  Der hvor vi kjenner til at det er mangler, eller behov for kvalitetssikring, er det foran teksten merket </w:t>
      </w:r>
      <w:r w:rsidRPr="00C5225D">
        <w:rPr>
          <w:color w:val="000000"/>
          <w:sz w:val="24"/>
          <w:szCs w:val="24"/>
          <w:highlight w:val="yellow"/>
        </w:rPr>
        <w:t>&gt;&gt;</w:t>
      </w:r>
      <w:r>
        <w:rPr>
          <w:color w:val="000000"/>
          <w:sz w:val="24"/>
          <w:szCs w:val="24"/>
        </w:rPr>
        <w:t>.  Dette gjelder eksempelvis henvisninger til regel</w:t>
      </w:r>
      <w:r>
        <w:rPr>
          <w:color w:val="000000"/>
          <w:sz w:val="24"/>
          <w:szCs w:val="24"/>
        </w:rPr>
        <w:softHyphen/>
        <w:t>verk.  Siden det løpende vil komme endringer i en veiledning, velger vi likevel å sende den ut nå – i håp om at den kan være til hjelp for pensjonskassene i tilbakemeldingen.  Vi tar gjerne imot tilbakemelding om uklarheter og feil.</w:t>
      </w:r>
    </w:p>
    <w:p w:rsidR="00A43DEC" w:rsidRDefault="00A43DEC" w:rsidP="00A43DEC">
      <w:pPr>
        <w:tabs>
          <w:tab w:val="clear" w:pos="5670"/>
        </w:tabs>
        <w:autoSpaceDE w:val="0"/>
        <w:autoSpaceDN w:val="0"/>
        <w:adjustRightInd w:val="0"/>
        <w:rPr>
          <w:color w:val="000000"/>
          <w:sz w:val="24"/>
          <w:szCs w:val="24"/>
        </w:rPr>
      </w:pPr>
    </w:p>
    <w:p w:rsidR="00A43DEC" w:rsidRDefault="00A43DEC" w:rsidP="00A43DEC">
      <w:pPr>
        <w:tabs>
          <w:tab w:val="clear" w:pos="5670"/>
        </w:tabs>
        <w:rPr>
          <w:b/>
          <w:bCs/>
          <w:i/>
          <w:sz w:val="24"/>
          <w:szCs w:val="24"/>
        </w:rPr>
      </w:pPr>
      <w:r>
        <w:rPr>
          <w:b/>
          <w:bCs/>
          <w:i/>
          <w:sz w:val="24"/>
          <w:szCs w:val="24"/>
        </w:rPr>
        <w:t>Rapporter:</w:t>
      </w:r>
    </w:p>
    <w:p w:rsidR="00A43DEC" w:rsidRDefault="00A43DEC" w:rsidP="00A43DEC">
      <w:pPr>
        <w:tabs>
          <w:tab w:val="clear" w:pos="5670"/>
        </w:tabs>
        <w:autoSpaceDE w:val="0"/>
        <w:autoSpaceDN w:val="0"/>
        <w:adjustRightInd w:val="0"/>
        <w:rPr>
          <w:color w:val="000000"/>
          <w:sz w:val="24"/>
          <w:szCs w:val="24"/>
        </w:rPr>
      </w:pPr>
      <w:r w:rsidRPr="009C2C90">
        <w:rPr>
          <w:color w:val="000000"/>
          <w:sz w:val="24"/>
          <w:szCs w:val="24"/>
        </w:rPr>
        <w:t xml:space="preserve">Antallet rapporter </w:t>
      </w:r>
      <w:r>
        <w:rPr>
          <w:color w:val="000000"/>
          <w:sz w:val="24"/>
          <w:szCs w:val="24"/>
        </w:rPr>
        <w:t xml:space="preserve">økes fra 3 til </w:t>
      </w:r>
      <w:r w:rsidRPr="009C2C90">
        <w:rPr>
          <w:color w:val="000000"/>
          <w:sz w:val="24"/>
          <w:szCs w:val="24"/>
        </w:rPr>
        <w:t>4</w:t>
      </w:r>
      <w:r>
        <w:rPr>
          <w:color w:val="000000"/>
          <w:sz w:val="24"/>
          <w:szCs w:val="24"/>
        </w:rPr>
        <w:t>.</w:t>
      </w:r>
      <w:r w:rsidRPr="009C2C90">
        <w:rPr>
          <w:color w:val="000000"/>
          <w:sz w:val="24"/>
          <w:szCs w:val="24"/>
        </w:rPr>
        <w:t xml:space="preserve"> </w:t>
      </w:r>
    </w:p>
    <w:p w:rsidR="00A43DEC" w:rsidRDefault="00A43DEC" w:rsidP="00A43DEC">
      <w:pPr>
        <w:tabs>
          <w:tab w:val="clear" w:pos="5670"/>
        </w:tabs>
        <w:autoSpaceDE w:val="0"/>
        <w:autoSpaceDN w:val="0"/>
        <w:adjustRightInd w:val="0"/>
        <w:rPr>
          <w:color w:val="000000"/>
          <w:sz w:val="24"/>
          <w:szCs w:val="24"/>
        </w:rPr>
      </w:pPr>
    </w:p>
    <w:p w:rsidR="00A43DEC" w:rsidRPr="002035B9" w:rsidRDefault="00A43DEC" w:rsidP="00A43DEC">
      <w:pPr>
        <w:tabs>
          <w:tab w:val="clear" w:pos="5670"/>
        </w:tabs>
        <w:autoSpaceDE w:val="0"/>
        <w:autoSpaceDN w:val="0"/>
        <w:adjustRightInd w:val="0"/>
        <w:rPr>
          <w:i/>
          <w:color w:val="000000"/>
          <w:sz w:val="24"/>
          <w:szCs w:val="24"/>
        </w:rPr>
      </w:pPr>
      <w:r>
        <w:rPr>
          <w:i/>
          <w:color w:val="000000"/>
          <w:sz w:val="24"/>
          <w:szCs w:val="24"/>
        </w:rPr>
        <w:t>Årsbalanse:</w:t>
      </w:r>
    </w:p>
    <w:p w:rsidR="00A43DEC" w:rsidRDefault="00A43DEC" w:rsidP="00A43DEC">
      <w:pPr>
        <w:pStyle w:val="Listeavsnitt"/>
        <w:numPr>
          <w:ilvl w:val="3"/>
          <w:numId w:val="1"/>
        </w:numPr>
        <w:tabs>
          <w:tab w:val="clear" w:pos="5670"/>
        </w:tabs>
        <w:autoSpaceDE w:val="0"/>
        <w:autoSpaceDN w:val="0"/>
        <w:adjustRightInd w:val="0"/>
        <w:ind w:left="426"/>
        <w:rPr>
          <w:color w:val="000000"/>
          <w:sz w:val="24"/>
          <w:szCs w:val="24"/>
        </w:rPr>
      </w:pPr>
      <w:r>
        <w:rPr>
          <w:color w:val="000000"/>
          <w:sz w:val="24"/>
          <w:szCs w:val="24"/>
        </w:rPr>
        <w:t xml:space="preserve">Rapportnummeret på dagens årsbalanse endret fra rapport 50 til rapport 10.  Spesifikasjonene i balansen er noe redusert.  I arkfanen «Rapport 10 m dagens» i det vedlagte regnearket er poster som er slått sammen fra dagens rapportering markert med lysegult.  Videre er strukturen noe endret: </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Pantspesifikasjonen på utlån er nå lagt til et eget felt i stedet for som poster.</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Enkelte poster er foreslått skilt på om de føres i teknisk eller ikke-teknisk regnskap.  Dette er markert med «T/IT» i porteføljefeltet, hvor verdiene 800 og 900 skal benyttes i rapporteringen.  Symbolet på om postene skal fordeles på portefølje og kontrakt er endret fra hhv. «</w:t>
      </w:r>
      <w:proofErr w:type="spellStart"/>
      <w:r>
        <w:rPr>
          <w:color w:val="000000"/>
          <w:sz w:val="24"/>
          <w:szCs w:val="24"/>
        </w:rPr>
        <w:t>X</w:t>
      </w:r>
      <w:proofErr w:type="spellEnd"/>
      <w:r>
        <w:rPr>
          <w:color w:val="000000"/>
          <w:sz w:val="24"/>
          <w:szCs w:val="24"/>
        </w:rPr>
        <w:t xml:space="preserve">» til «P» og fra «Y» til «Q», men med samme tallverdier.  </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Underoppdeling av rentebærende verdipapirer etter løpetid og spesifikasjon av tapsned</w:t>
      </w:r>
      <w:r>
        <w:rPr>
          <w:color w:val="000000"/>
          <w:sz w:val="24"/>
          <w:szCs w:val="24"/>
        </w:rPr>
        <w:softHyphen/>
        <w:t xml:space="preserve">skrivninger på utlån er flyttet til rapport 10 fra dagens rapport 51. Tilleggsspesifikasjoner </w:t>
      </w:r>
    </w:p>
    <w:p w:rsidR="00A43DEC" w:rsidRDefault="00A43DEC" w:rsidP="00A43DEC">
      <w:pPr>
        <w:tabs>
          <w:tab w:val="clear" w:pos="5670"/>
        </w:tabs>
        <w:autoSpaceDE w:val="0"/>
        <w:autoSpaceDN w:val="0"/>
        <w:adjustRightInd w:val="0"/>
        <w:rPr>
          <w:color w:val="000000"/>
          <w:sz w:val="24"/>
          <w:szCs w:val="24"/>
        </w:rPr>
      </w:pPr>
    </w:p>
    <w:p w:rsidR="00A43DEC" w:rsidRPr="00F412CC" w:rsidRDefault="00A43DEC" w:rsidP="00A43DEC">
      <w:pPr>
        <w:tabs>
          <w:tab w:val="clear" w:pos="5670"/>
        </w:tabs>
        <w:autoSpaceDE w:val="0"/>
        <w:autoSpaceDN w:val="0"/>
        <w:adjustRightInd w:val="0"/>
        <w:rPr>
          <w:i/>
          <w:color w:val="000000"/>
          <w:sz w:val="24"/>
          <w:szCs w:val="24"/>
        </w:rPr>
      </w:pPr>
      <w:r>
        <w:rPr>
          <w:i/>
          <w:color w:val="000000"/>
          <w:sz w:val="24"/>
          <w:szCs w:val="24"/>
        </w:rPr>
        <w:t>Årsre</w:t>
      </w:r>
      <w:r w:rsidR="00EF02B5">
        <w:rPr>
          <w:i/>
          <w:color w:val="000000"/>
          <w:sz w:val="24"/>
          <w:szCs w:val="24"/>
        </w:rPr>
        <w:t>s</w:t>
      </w:r>
      <w:r>
        <w:rPr>
          <w:i/>
          <w:color w:val="000000"/>
          <w:sz w:val="24"/>
          <w:szCs w:val="24"/>
        </w:rPr>
        <w:t>ultatregnskap:</w:t>
      </w:r>
    </w:p>
    <w:p w:rsidR="00A43DEC" w:rsidRDefault="00A43DEC" w:rsidP="00A43DEC">
      <w:pPr>
        <w:pStyle w:val="Listeavsnitt"/>
        <w:numPr>
          <w:ilvl w:val="3"/>
          <w:numId w:val="1"/>
        </w:numPr>
        <w:tabs>
          <w:tab w:val="clear" w:pos="5670"/>
        </w:tabs>
        <w:autoSpaceDE w:val="0"/>
        <w:autoSpaceDN w:val="0"/>
        <w:adjustRightInd w:val="0"/>
        <w:ind w:left="426"/>
        <w:rPr>
          <w:color w:val="000000"/>
          <w:sz w:val="24"/>
          <w:szCs w:val="24"/>
        </w:rPr>
      </w:pPr>
      <w:r>
        <w:rPr>
          <w:color w:val="000000"/>
          <w:sz w:val="24"/>
          <w:szCs w:val="24"/>
        </w:rPr>
        <w:t>Rapportnummeret på d</w:t>
      </w:r>
      <w:r w:rsidRPr="009C2C90">
        <w:rPr>
          <w:color w:val="000000"/>
          <w:sz w:val="24"/>
          <w:szCs w:val="24"/>
        </w:rPr>
        <w:t>agens Årsresultat</w:t>
      </w:r>
      <w:r>
        <w:rPr>
          <w:color w:val="000000"/>
          <w:sz w:val="24"/>
          <w:szCs w:val="24"/>
        </w:rPr>
        <w:t xml:space="preserve">regnskap er endret fra rapport 20 til rapport 21.  Også her er spesifikasjonene totalt sett noe redusert, men enkelte av dagens poster er delt.  Fordi poster er flyttet eller </w:t>
      </w:r>
      <w:r w:rsidRPr="003C0059">
        <w:rPr>
          <w:color w:val="000000"/>
          <w:sz w:val="24"/>
          <w:szCs w:val="24"/>
        </w:rPr>
        <w:t xml:space="preserve">noe endret i omfang, er det vanskelig å </w:t>
      </w:r>
      <w:r>
        <w:rPr>
          <w:color w:val="000000"/>
          <w:sz w:val="24"/>
          <w:szCs w:val="24"/>
        </w:rPr>
        <w:t>sammenligne dagens og ny rapport 21.  Poster som er slått sammen er likevel forsøkt skissert med lysegul markering i arkfanen «Rapport 21 m dagens» i det vedlagte regnearket.  Her vil vi kommentere følgende:</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E</w:t>
      </w:r>
      <w:r w:rsidRPr="003C0059">
        <w:rPr>
          <w:color w:val="000000"/>
          <w:sz w:val="24"/>
          <w:szCs w:val="24"/>
        </w:rPr>
        <w:t xml:space="preserve">ndringer i egenkapital fra dagens rapport 51 tatt inn </w:t>
      </w:r>
      <w:r>
        <w:rPr>
          <w:color w:val="000000"/>
          <w:sz w:val="24"/>
          <w:szCs w:val="24"/>
        </w:rPr>
        <w:t xml:space="preserve">i rapport 21 med færre spesifikasjoner og noe </w:t>
      </w:r>
      <w:r w:rsidRPr="003C0059">
        <w:rPr>
          <w:color w:val="000000"/>
          <w:sz w:val="24"/>
          <w:szCs w:val="24"/>
        </w:rPr>
        <w:t>endret form</w:t>
      </w:r>
      <w:r>
        <w:rPr>
          <w:color w:val="000000"/>
          <w:sz w:val="24"/>
          <w:szCs w:val="24"/>
        </w:rPr>
        <w:t>.</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 xml:space="preserve">Underoppdeling av endringer i fond er i hovedsak fjernet.  Det skyldes endringer som er foreslått i resultatanalysen i ny rapport 12, se nedenfor. </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Underoppdeling av premier er fjernet, fordi informasjonen vil framkomme av resultatanalysen i ny rapport 12, se nedenfor.</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lastRenderedPageBreak/>
        <w:t xml:space="preserve">Av- og nedskrivning, verdiendringer og gevinst/tap på ikke-finansielle eiendeler er skilt fra verdiendringer og gevinst/tap på de finansielle eiendelene og flyttet over til kostnader.  </w:t>
      </w:r>
    </w:p>
    <w:p w:rsidR="00A43DEC" w:rsidRDefault="00A43DEC" w:rsidP="00A43DEC">
      <w:pPr>
        <w:pStyle w:val="Listeavsnitt"/>
        <w:numPr>
          <w:ilvl w:val="4"/>
          <w:numId w:val="1"/>
        </w:numPr>
        <w:tabs>
          <w:tab w:val="clear" w:pos="5670"/>
        </w:tabs>
        <w:autoSpaceDE w:val="0"/>
        <w:autoSpaceDN w:val="0"/>
        <w:adjustRightInd w:val="0"/>
        <w:ind w:left="851"/>
        <w:rPr>
          <w:color w:val="000000"/>
          <w:sz w:val="24"/>
          <w:szCs w:val="24"/>
        </w:rPr>
      </w:pPr>
      <w:r>
        <w:rPr>
          <w:color w:val="000000"/>
          <w:sz w:val="24"/>
          <w:szCs w:val="24"/>
        </w:rPr>
        <w:t>Oppdelingen av driftskostnadene er noe endret.  Dette er knyttet til behov i nasjonal</w:t>
      </w:r>
      <w:r>
        <w:rPr>
          <w:color w:val="000000"/>
          <w:sz w:val="24"/>
          <w:szCs w:val="24"/>
        </w:rPr>
        <w:softHyphen/>
        <w:t xml:space="preserve">regnskapet. </w:t>
      </w:r>
    </w:p>
    <w:p w:rsidR="00A43DEC" w:rsidRDefault="00A43DEC" w:rsidP="00A43DEC">
      <w:pPr>
        <w:tabs>
          <w:tab w:val="clear" w:pos="5670"/>
        </w:tabs>
        <w:autoSpaceDE w:val="0"/>
        <w:autoSpaceDN w:val="0"/>
        <w:adjustRightInd w:val="0"/>
        <w:rPr>
          <w:color w:val="000000"/>
          <w:sz w:val="24"/>
          <w:szCs w:val="24"/>
        </w:rPr>
      </w:pPr>
    </w:p>
    <w:p w:rsidR="00A43DEC" w:rsidRPr="00F412CC" w:rsidRDefault="00A43DEC" w:rsidP="00A43DEC">
      <w:pPr>
        <w:tabs>
          <w:tab w:val="clear" w:pos="5670"/>
        </w:tabs>
        <w:autoSpaceDE w:val="0"/>
        <w:autoSpaceDN w:val="0"/>
        <w:adjustRightInd w:val="0"/>
        <w:rPr>
          <w:i/>
          <w:color w:val="000000"/>
          <w:sz w:val="24"/>
          <w:szCs w:val="24"/>
        </w:rPr>
      </w:pPr>
      <w:r>
        <w:rPr>
          <w:i/>
          <w:color w:val="000000"/>
          <w:sz w:val="24"/>
          <w:szCs w:val="24"/>
        </w:rPr>
        <w:t>Landfordeling av balanseposter:</w:t>
      </w:r>
    </w:p>
    <w:p w:rsidR="00A43DEC" w:rsidRDefault="00A43DEC" w:rsidP="00A43DEC">
      <w:pPr>
        <w:pStyle w:val="Listeavsnitt"/>
        <w:numPr>
          <w:ilvl w:val="0"/>
          <w:numId w:val="1"/>
        </w:numPr>
        <w:tabs>
          <w:tab w:val="clear" w:pos="5670"/>
        </w:tabs>
        <w:autoSpaceDE w:val="0"/>
        <w:autoSpaceDN w:val="0"/>
        <w:adjustRightInd w:val="0"/>
        <w:ind w:left="426"/>
        <w:rPr>
          <w:color w:val="000000"/>
          <w:sz w:val="24"/>
          <w:szCs w:val="24"/>
        </w:rPr>
      </w:pPr>
      <w:r>
        <w:rPr>
          <w:color w:val="000000"/>
          <w:sz w:val="24"/>
          <w:szCs w:val="24"/>
        </w:rPr>
        <w:t xml:space="preserve">Landfordelingen av balanseposter i dagens rapport 51 er flyttet til en ny, egen rapport 13. Landfordeling av balanseposter. </w:t>
      </w:r>
    </w:p>
    <w:p w:rsidR="00A43DEC" w:rsidRDefault="00A43DEC" w:rsidP="00A43DEC">
      <w:pPr>
        <w:pStyle w:val="Listeavsnitt"/>
        <w:numPr>
          <w:ilvl w:val="1"/>
          <w:numId w:val="1"/>
        </w:numPr>
        <w:tabs>
          <w:tab w:val="clear" w:pos="5670"/>
        </w:tabs>
        <w:autoSpaceDE w:val="0"/>
        <w:autoSpaceDN w:val="0"/>
        <w:adjustRightInd w:val="0"/>
        <w:ind w:left="851"/>
        <w:rPr>
          <w:color w:val="000000"/>
          <w:sz w:val="24"/>
          <w:szCs w:val="24"/>
        </w:rPr>
      </w:pPr>
      <w:r>
        <w:rPr>
          <w:color w:val="000000"/>
          <w:sz w:val="24"/>
          <w:szCs w:val="24"/>
        </w:rPr>
        <w:t>Balansen er utvidet til en fullstendig balanse, hvor også sum norske sektorer er med.</w:t>
      </w:r>
    </w:p>
    <w:p w:rsidR="00A43DEC" w:rsidRDefault="00A43DEC" w:rsidP="00A43DEC">
      <w:pPr>
        <w:pStyle w:val="Listeavsnitt"/>
        <w:numPr>
          <w:ilvl w:val="1"/>
          <w:numId w:val="1"/>
        </w:numPr>
        <w:tabs>
          <w:tab w:val="clear" w:pos="5670"/>
        </w:tabs>
        <w:autoSpaceDE w:val="0"/>
        <w:autoSpaceDN w:val="0"/>
        <w:adjustRightInd w:val="0"/>
        <w:ind w:left="851"/>
        <w:rPr>
          <w:color w:val="000000"/>
          <w:sz w:val="24"/>
          <w:szCs w:val="24"/>
        </w:rPr>
      </w:pPr>
      <w:r>
        <w:rPr>
          <w:color w:val="000000"/>
          <w:sz w:val="24"/>
          <w:szCs w:val="24"/>
        </w:rPr>
        <w:t>Videre skilles det nå på norsk og utenlandsk valuta.</w:t>
      </w:r>
    </w:p>
    <w:p w:rsidR="00A43DEC" w:rsidRDefault="00A43DEC" w:rsidP="00A43DEC">
      <w:pPr>
        <w:pStyle w:val="Listeavsnitt"/>
        <w:numPr>
          <w:ilvl w:val="1"/>
          <w:numId w:val="1"/>
        </w:numPr>
        <w:tabs>
          <w:tab w:val="clear" w:pos="5670"/>
        </w:tabs>
        <w:autoSpaceDE w:val="0"/>
        <w:autoSpaceDN w:val="0"/>
        <w:adjustRightInd w:val="0"/>
        <w:ind w:left="851"/>
        <w:rPr>
          <w:color w:val="000000"/>
          <w:sz w:val="24"/>
          <w:szCs w:val="24"/>
        </w:rPr>
      </w:pPr>
      <w:r>
        <w:rPr>
          <w:color w:val="000000"/>
          <w:sz w:val="24"/>
          <w:szCs w:val="24"/>
        </w:rPr>
        <w:t>På den annen side er antallet spesifikasjoner for hver</w:t>
      </w:r>
      <w:r w:rsidR="00EF02B5">
        <w:rPr>
          <w:color w:val="000000"/>
          <w:sz w:val="24"/>
          <w:szCs w:val="24"/>
        </w:rPr>
        <w:t>t</w:t>
      </w:r>
      <w:r>
        <w:rPr>
          <w:color w:val="000000"/>
          <w:sz w:val="24"/>
          <w:szCs w:val="24"/>
        </w:rPr>
        <w:t xml:space="preserve"> finansobjekt redusert. </w:t>
      </w:r>
    </w:p>
    <w:p w:rsidR="00A43DEC" w:rsidRDefault="00A43DEC" w:rsidP="00A43DEC">
      <w:pPr>
        <w:tabs>
          <w:tab w:val="clear" w:pos="5670"/>
        </w:tabs>
        <w:autoSpaceDE w:val="0"/>
        <w:autoSpaceDN w:val="0"/>
        <w:adjustRightInd w:val="0"/>
        <w:rPr>
          <w:color w:val="000000"/>
          <w:sz w:val="24"/>
          <w:szCs w:val="24"/>
        </w:rPr>
      </w:pPr>
    </w:p>
    <w:p w:rsidR="00A43DEC" w:rsidRPr="00F412CC" w:rsidRDefault="00A43DEC" w:rsidP="00A43DEC">
      <w:pPr>
        <w:tabs>
          <w:tab w:val="clear" w:pos="5670"/>
        </w:tabs>
        <w:autoSpaceDE w:val="0"/>
        <w:autoSpaceDN w:val="0"/>
        <w:adjustRightInd w:val="0"/>
        <w:rPr>
          <w:i/>
          <w:color w:val="000000"/>
          <w:sz w:val="24"/>
          <w:szCs w:val="24"/>
        </w:rPr>
      </w:pPr>
      <w:r>
        <w:rPr>
          <w:i/>
          <w:color w:val="000000"/>
          <w:sz w:val="24"/>
          <w:szCs w:val="24"/>
        </w:rPr>
        <w:t>Tilleggsspesifikasjoner:</w:t>
      </w:r>
    </w:p>
    <w:p w:rsidR="00A43DEC" w:rsidRDefault="00A43DEC" w:rsidP="00A43DEC">
      <w:pPr>
        <w:pStyle w:val="Listeavsnitt"/>
        <w:numPr>
          <w:ilvl w:val="0"/>
          <w:numId w:val="1"/>
        </w:numPr>
        <w:tabs>
          <w:tab w:val="clear" w:pos="5670"/>
        </w:tabs>
        <w:autoSpaceDE w:val="0"/>
        <w:autoSpaceDN w:val="0"/>
        <w:adjustRightInd w:val="0"/>
        <w:ind w:left="426"/>
        <w:rPr>
          <w:color w:val="000000"/>
          <w:sz w:val="24"/>
          <w:szCs w:val="24"/>
        </w:rPr>
      </w:pPr>
      <w:r>
        <w:rPr>
          <w:color w:val="000000"/>
          <w:sz w:val="24"/>
          <w:szCs w:val="24"/>
        </w:rPr>
        <w:t>Noen tilleggsspesifikasjoner er fjernet eller redusert, mens andre er utvidet:</w:t>
      </w:r>
    </w:p>
    <w:p w:rsidR="00A43DEC" w:rsidRDefault="00A43DEC" w:rsidP="00A43DEC">
      <w:pPr>
        <w:pStyle w:val="Listeavsnitt"/>
        <w:numPr>
          <w:ilvl w:val="1"/>
          <w:numId w:val="1"/>
        </w:numPr>
        <w:tabs>
          <w:tab w:val="clear" w:pos="5670"/>
        </w:tabs>
        <w:autoSpaceDE w:val="0"/>
        <w:autoSpaceDN w:val="0"/>
        <w:adjustRightInd w:val="0"/>
        <w:ind w:left="851"/>
        <w:rPr>
          <w:color w:val="000000"/>
          <w:sz w:val="24"/>
          <w:szCs w:val="24"/>
        </w:rPr>
      </w:pPr>
      <w:r>
        <w:rPr>
          <w:color w:val="000000"/>
          <w:sz w:val="24"/>
          <w:szCs w:val="24"/>
        </w:rPr>
        <w:t>Følgende spesifikasjoner utgår:</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proofErr w:type="spellStart"/>
      <w:r>
        <w:rPr>
          <w:color w:val="000000"/>
          <w:sz w:val="24"/>
          <w:szCs w:val="24"/>
        </w:rPr>
        <w:t>Tilleggsart</w:t>
      </w:r>
      <w:proofErr w:type="spellEnd"/>
      <w:r>
        <w:rPr>
          <w:color w:val="000000"/>
          <w:sz w:val="24"/>
          <w:szCs w:val="24"/>
        </w:rPr>
        <w:t xml:space="preserve"> 40 Underspesifikasjon av balanseposter – med unntak av de to spesifikasjonene som er flyttet til rapport 10 (se over).</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r>
        <w:rPr>
          <w:color w:val="000000"/>
          <w:sz w:val="24"/>
          <w:szCs w:val="24"/>
        </w:rPr>
        <w:t>Tilleggs art 64 Forpliktelser utenom balansen</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proofErr w:type="spellStart"/>
      <w:r w:rsidRPr="00CC4FAB">
        <w:rPr>
          <w:color w:val="000000"/>
          <w:sz w:val="24"/>
          <w:szCs w:val="24"/>
        </w:rPr>
        <w:t>Tilleggsart</w:t>
      </w:r>
      <w:proofErr w:type="spellEnd"/>
      <w:r w:rsidRPr="00CC4FAB">
        <w:rPr>
          <w:color w:val="000000"/>
          <w:sz w:val="24"/>
          <w:szCs w:val="24"/>
        </w:rPr>
        <w:t xml:space="preserve"> 82 - Kapitalavkastningsrente, Verdijustert kapitalavkastningsrente og Gjennomsnittlig beregningsrente for premiereserven</w:t>
      </w:r>
      <w:r>
        <w:rPr>
          <w:color w:val="000000"/>
          <w:sz w:val="24"/>
          <w:szCs w:val="24"/>
        </w:rPr>
        <w:t>.</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r>
        <w:rPr>
          <w:color w:val="000000"/>
          <w:sz w:val="24"/>
          <w:szCs w:val="24"/>
        </w:rPr>
        <w:t xml:space="preserve">Landfordeling av premien under </w:t>
      </w:r>
      <w:proofErr w:type="spellStart"/>
      <w:r>
        <w:rPr>
          <w:color w:val="000000"/>
          <w:sz w:val="24"/>
          <w:szCs w:val="24"/>
        </w:rPr>
        <w:t>tilleggsart</w:t>
      </w:r>
      <w:proofErr w:type="spellEnd"/>
      <w:r>
        <w:rPr>
          <w:color w:val="000000"/>
          <w:sz w:val="24"/>
          <w:szCs w:val="24"/>
        </w:rPr>
        <w:t xml:space="preserve"> 93. Spesifikasjon av resultatstørrelser</w:t>
      </w:r>
      <w:r w:rsidRPr="00CC4FAB">
        <w:rPr>
          <w:color w:val="000000"/>
          <w:sz w:val="24"/>
          <w:szCs w:val="24"/>
        </w:rPr>
        <w:t xml:space="preserve"> </w:t>
      </w:r>
    </w:p>
    <w:p w:rsidR="00A43DEC" w:rsidRDefault="00A43DEC" w:rsidP="00A43DEC">
      <w:pPr>
        <w:pStyle w:val="Listeavsnitt"/>
        <w:numPr>
          <w:ilvl w:val="1"/>
          <w:numId w:val="1"/>
        </w:numPr>
        <w:tabs>
          <w:tab w:val="clear" w:pos="5670"/>
        </w:tabs>
        <w:autoSpaceDE w:val="0"/>
        <w:autoSpaceDN w:val="0"/>
        <w:adjustRightInd w:val="0"/>
        <w:ind w:left="851"/>
        <w:rPr>
          <w:color w:val="000000"/>
          <w:sz w:val="24"/>
          <w:szCs w:val="24"/>
        </w:rPr>
      </w:pPr>
      <w:r>
        <w:rPr>
          <w:color w:val="000000"/>
          <w:sz w:val="24"/>
          <w:szCs w:val="24"/>
        </w:rPr>
        <w:t>Følgende spesifikasjoner er innført:</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r>
        <w:rPr>
          <w:color w:val="000000"/>
          <w:sz w:val="24"/>
          <w:szCs w:val="24"/>
        </w:rPr>
        <w:t xml:space="preserve">Bransjefordeling av sum premiereserve, pensjonskapital og pensjonsbeholdning under ny </w:t>
      </w:r>
      <w:proofErr w:type="spellStart"/>
      <w:r>
        <w:rPr>
          <w:color w:val="000000"/>
          <w:sz w:val="24"/>
          <w:szCs w:val="24"/>
        </w:rPr>
        <w:t>tilleggsart</w:t>
      </w:r>
      <w:proofErr w:type="spellEnd"/>
      <w:r>
        <w:rPr>
          <w:color w:val="000000"/>
          <w:sz w:val="24"/>
          <w:szCs w:val="24"/>
        </w:rPr>
        <w:t xml:space="preserve"> 41.</w:t>
      </w:r>
    </w:p>
    <w:p w:rsidR="00A43DEC" w:rsidRDefault="00A43DEC" w:rsidP="00A43DEC">
      <w:pPr>
        <w:pStyle w:val="Listeavsnitt"/>
        <w:numPr>
          <w:ilvl w:val="2"/>
          <w:numId w:val="1"/>
        </w:numPr>
        <w:tabs>
          <w:tab w:val="clear" w:pos="5670"/>
        </w:tabs>
        <w:autoSpaceDE w:val="0"/>
        <w:autoSpaceDN w:val="0"/>
        <w:adjustRightInd w:val="0"/>
        <w:ind w:left="1276"/>
        <w:rPr>
          <w:color w:val="000000"/>
          <w:sz w:val="24"/>
          <w:szCs w:val="24"/>
        </w:rPr>
      </w:pPr>
      <w:r w:rsidRPr="00CC4FAB">
        <w:rPr>
          <w:color w:val="000000"/>
          <w:sz w:val="24"/>
          <w:szCs w:val="24"/>
        </w:rPr>
        <w:t>Bransjefordel</w:t>
      </w:r>
      <w:r>
        <w:rPr>
          <w:color w:val="000000"/>
          <w:sz w:val="24"/>
          <w:szCs w:val="24"/>
        </w:rPr>
        <w:t xml:space="preserve">ing av postene i resultatanalysen under ny </w:t>
      </w:r>
      <w:proofErr w:type="spellStart"/>
      <w:r>
        <w:rPr>
          <w:color w:val="000000"/>
          <w:sz w:val="24"/>
          <w:szCs w:val="24"/>
        </w:rPr>
        <w:t>tilleggsart</w:t>
      </w:r>
      <w:proofErr w:type="spellEnd"/>
      <w:r>
        <w:rPr>
          <w:color w:val="000000"/>
          <w:sz w:val="24"/>
          <w:szCs w:val="24"/>
        </w:rPr>
        <w:t xml:space="preserve"> 43, hvor enkelte poster er slått sammen, mens andre er mer </w:t>
      </w:r>
      <w:proofErr w:type="spellStart"/>
      <w:r>
        <w:rPr>
          <w:color w:val="000000"/>
          <w:sz w:val="24"/>
          <w:szCs w:val="24"/>
        </w:rPr>
        <w:t>spsifisert</w:t>
      </w:r>
      <w:proofErr w:type="spellEnd"/>
      <w:r>
        <w:rPr>
          <w:color w:val="000000"/>
          <w:sz w:val="24"/>
          <w:szCs w:val="24"/>
        </w:rPr>
        <w:t>.</w:t>
      </w:r>
    </w:p>
    <w:p w:rsidR="00A43DEC" w:rsidRPr="00CC4FAB" w:rsidRDefault="00A43DEC" w:rsidP="00A43DEC">
      <w:pPr>
        <w:pStyle w:val="Listeavsnitt"/>
        <w:numPr>
          <w:ilvl w:val="2"/>
          <w:numId w:val="1"/>
        </w:numPr>
        <w:tabs>
          <w:tab w:val="clear" w:pos="5670"/>
        </w:tabs>
        <w:autoSpaceDE w:val="0"/>
        <w:autoSpaceDN w:val="0"/>
        <w:adjustRightInd w:val="0"/>
        <w:ind w:left="1276"/>
        <w:rPr>
          <w:color w:val="000000"/>
          <w:sz w:val="24"/>
          <w:szCs w:val="24"/>
        </w:rPr>
      </w:pPr>
      <w:r>
        <w:rPr>
          <w:color w:val="000000"/>
          <w:sz w:val="24"/>
          <w:szCs w:val="24"/>
        </w:rPr>
        <w:t xml:space="preserve">Spesifikasjon av frigjort tilleggsavsetning fordelt på fond og bransje under ny </w:t>
      </w:r>
      <w:proofErr w:type="spellStart"/>
      <w:r>
        <w:rPr>
          <w:color w:val="000000"/>
          <w:sz w:val="24"/>
          <w:szCs w:val="24"/>
        </w:rPr>
        <w:t>tilleggsart</w:t>
      </w:r>
      <w:proofErr w:type="spellEnd"/>
      <w:r>
        <w:rPr>
          <w:color w:val="000000"/>
          <w:sz w:val="24"/>
          <w:szCs w:val="24"/>
        </w:rPr>
        <w:t xml:space="preserve"> 44.</w:t>
      </w:r>
    </w:p>
    <w:p w:rsidR="00A43DEC" w:rsidRDefault="00A43DEC" w:rsidP="00A43DEC">
      <w:pPr>
        <w:tabs>
          <w:tab w:val="clear" w:pos="5670"/>
        </w:tabs>
        <w:rPr>
          <w:color w:val="000000"/>
          <w:sz w:val="24"/>
          <w:szCs w:val="24"/>
        </w:rPr>
      </w:pPr>
    </w:p>
    <w:p w:rsidR="00A43DEC" w:rsidRDefault="00A43DEC" w:rsidP="00A43DEC">
      <w:pPr>
        <w:tabs>
          <w:tab w:val="clear" w:pos="5670"/>
        </w:tabs>
        <w:autoSpaceDE w:val="0"/>
        <w:autoSpaceDN w:val="0"/>
        <w:adjustRightInd w:val="0"/>
        <w:rPr>
          <w:color w:val="000000"/>
          <w:sz w:val="24"/>
          <w:szCs w:val="24"/>
        </w:rPr>
      </w:pPr>
      <w:proofErr w:type="spellStart"/>
      <w:r>
        <w:rPr>
          <w:b/>
          <w:i/>
          <w:color w:val="000000"/>
          <w:sz w:val="24"/>
          <w:szCs w:val="24"/>
        </w:rPr>
        <w:t>Sammenhengskataloger</w:t>
      </w:r>
      <w:proofErr w:type="spellEnd"/>
      <w:r>
        <w:rPr>
          <w:b/>
          <w:i/>
          <w:color w:val="000000"/>
          <w:sz w:val="24"/>
          <w:szCs w:val="24"/>
        </w:rPr>
        <w:t xml:space="preserve"> (linker):</w:t>
      </w:r>
    </w:p>
    <w:p w:rsidR="00A43DEC" w:rsidRDefault="00A43DEC" w:rsidP="00A43DEC">
      <w:pPr>
        <w:tabs>
          <w:tab w:val="clear" w:pos="5670"/>
        </w:tabs>
        <w:autoSpaceDE w:val="0"/>
        <w:autoSpaceDN w:val="0"/>
        <w:adjustRightInd w:val="0"/>
        <w:rPr>
          <w:b/>
          <w:i/>
          <w:color w:val="000000"/>
          <w:sz w:val="24"/>
          <w:szCs w:val="24"/>
        </w:rPr>
      </w:pPr>
      <w:r>
        <w:rPr>
          <w:color w:val="000000"/>
          <w:sz w:val="24"/>
          <w:szCs w:val="24"/>
        </w:rPr>
        <w:t xml:space="preserve">Dokumentet med sammenhengen mellom postene i ny PORT og postene i oppstillingsplanen er ikke ferdig utarbeidet.  Hvordan vi mener postene i rapport 10 og rapport 21 skal konverteres over til </w:t>
      </w:r>
      <w:proofErr w:type="spellStart"/>
      <w:r>
        <w:rPr>
          <w:color w:val="000000"/>
          <w:sz w:val="24"/>
          <w:szCs w:val="24"/>
        </w:rPr>
        <w:t>oppstilllingsplanen</w:t>
      </w:r>
      <w:proofErr w:type="spellEnd"/>
      <w:r>
        <w:rPr>
          <w:color w:val="000000"/>
          <w:sz w:val="24"/>
          <w:szCs w:val="24"/>
        </w:rPr>
        <w:t xml:space="preserve"> er imidlertid angitt i kolonne «K» i kodelistene i det vedlagte regnearket.  </w:t>
      </w:r>
    </w:p>
    <w:p w:rsidR="00A43DEC" w:rsidRDefault="00A43DEC" w:rsidP="00A43DEC">
      <w:pPr>
        <w:tabs>
          <w:tab w:val="clear" w:pos="5670"/>
        </w:tabs>
        <w:autoSpaceDE w:val="0"/>
        <w:autoSpaceDN w:val="0"/>
        <w:adjustRightInd w:val="0"/>
        <w:rPr>
          <w:b/>
          <w:i/>
          <w:color w:val="000000"/>
          <w:sz w:val="24"/>
          <w:szCs w:val="24"/>
        </w:rPr>
      </w:pPr>
    </w:p>
    <w:p w:rsidR="00A43DEC" w:rsidRDefault="00A43DEC" w:rsidP="00A43DEC">
      <w:pPr>
        <w:tabs>
          <w:tab w:val="clear" w:pos="5670"/>
        </w:tabs>
        <w:autoSpaceDE w:val="0"/>
        <w:autoSpaceDN w:val="0"/>
        <w:adjustRightInd w:val="0"/>
        <w:rPr>
          <w:b/>
          <w:color w:val="000000"/>
          <w:sz w:val="24"/>
          <w:szCs w:val="24"/>
        </w:rPr>
      </w:pPr>
      <w:r>
        <w:rPr>
          <w:b/>
          <w:i/>
          <w:color w:val="000000"/>
          <w:sz w:val="24"/>
          <w:szCs w:val="24"/>
        </w:rPr>
        <w:t>Regnearksmaler og feilkontrollnotat:</w:t>
      </w:r>
    </w:p>
    <w:p w:rsidR="00A43DEC" w:rsidRPr="00E126A9" w:rsidRDefault="00A43DEC" w:rsidP="00A43DEC">
      <w:pPr>
        <w:tabs>
          <w:tab w:val="clear" w:pos="5670"/>
        </w:tabs>
        <w:autoSpaceDE w:val="0"/>
        <w:autoSpaceDN w:val="0"/>
        <w:adjustRightInd w:val="0"/>
        <w:rPr>
          <w:color w:val="000000"/>
          <w:sz w:val="24"/>
          <w:szCs w:val="24"/>
        </w:rPr>
      </w:pPr>
      <w:r>
        <w:rPr>
          <w:color w:val="000000"/>
          <w:sz w:val="24"/>
          <w:szCs w:val="24"/>
        </w:rPr>
        <w:t>Dette vil bli utarbeidet etter tilbakemelding fra pensjonskassene.</w:t>
      </w:r>
    </w:p>
    <w:p w:rsidR="00A43DEC" w:rsidRDefault="00A43DEC"/>
    <w:sectPr w:rsidR="00A43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F27E7"/>
    <w:multiLevelType w:val="hybridMultilevel"/>
    <w:tmpl w:val="38684F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EC"/>
    <w:rsid w:val="00164A2D"/>
    <w:rsid w:val="0033075D"/>
    <w:rsid w:val="00A43DEC"/>
    <w:rsid w:val="00B22B5E"/>
    <w:rsid w:val="00EF02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48634-9E9D-4A30-8E68-C86C93C0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DEC"/>
    <w:pPr>
      <w:tabs>
        <w:tab w:val="left" w:pos="5670"/>
      </w:tabs>
      <w:spacing w:after="0" w:line="240" w:lineRule="auto"/>
    </w:pPr>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43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4136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Tangen, Anne Hege</dc:creator>
  <cp:keywords/>
  <dc:description/>
  <cp:lastModifiedBy>Hammer, Kjell</cp:lastModifiedBy>
  <cp:revision>2</cp:revision>
  <dcterms:created xsi:type="dcterms:W3CDTF">2021-06-28T08:18:00Z</dcterms:created>
  <dcterms:modified xsi:type="dcterms:W3CDTF">2021-06-28T08:18:00Z</dcterms:modified>
</cp:coreProperties>
</file>