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65C4" w14:textId="77777777" w:rsidR="0013101C" w:rsidRPr="00E85D8B" w:rsidRDefault="0013101C" w:rsidP="0013101C">
      <w:pPr>
        <w:shd w:val="clear" w:color="auto" w:fill="FFFFFF"/>
        <w:spacing w:after="120" w:line="240" w:lineRule="auto"/>
        <w:textAlignment w:val="baseline"/>
        <w:outlineLvl w:val="1"/>
        <w:rPr>
          <w:rFonts w:ascii="Oswald" w:eastAsia="Times New Roman" w:hAnsi="Oswald" w:cs="Times New Roman"/>
          <w:color w:val="333333"/>
          <w:sz w:val="44"/>
          <w:szCs w:val="44"/>
          <w:lang w:eastAsia="nb-NO"/>
        </w:rPr>
      </w:pPr>
      <w:r w:rsidRPr="00E85D8B">
        <w:rPr>
          <w:rFonts w:ascii="Oswald" w:eastAsia="Times New Roman" w:hAnsi="Oswald" w:cs="Times New Roman"/>
          <w:color w:val="333333"/>
          <w:sz w:val="44"/>
          <w:szCs w:val="44"/>
          <w:lang w:eastAsia="nb-NO"/>
        </w:rPr>
        <w:t>Formål</w:t>
      </w:r>
    </w:p>
    <w:p w14:paraId="5A6BEE03" w14:textId="1036E26D" w:rsidR="0013101C" w:rsidRDefault="0013101C" w:rsidP="0013101C">
      <w:pPr>
        <w:shd w:val="clear" w:color="auto" w:fill="FFFFFF"/>
        <w:spacing w:after="240" w:line="240" w:lineRule="auto"/>
        <w:textAlignment w:val="baseline"/>
        <w:rPr>
          <w:rFonts w:ascii="Times New Roman" w:eastAsia="MS Gothic" w:hAnsi="Times New Roman" w:cs="Times New Roman"/>
          <w:color w:val="333333"/>
          <w:sz w:val="20"/>
          <w:szCs w:val="20"/>
          <w:lang w:eastAsia="nb-NO"/>
        </w:rPr>
      </w:pPr>
      <w:r w:rsidRPr="0013101C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Rapporteringen er et samarbeid mellom Finanstilsynet, Norges Bank og Statistisk sentralbyrå</w:t>
      </w:r>
      <w:r w:rsidR="00C26159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og f.o.m. 2023</w:t>
      </w:r>
      <w:r w:rsidR="005A33D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</w:t>
      </w:r>
      <w:r w:rsidR="00C26159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Bankenes Sikringsfond</w:t>
      </w:r>
      <w:r w:rsidR="005A33D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.</w:t>
      </w:r>
      <w:r w:rsidRPr="0013101C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Rapporteringen fra banker og kreditt- og finansieringsforetak danner grunnlag for tilsyn med institusjonene og finansmarkedene. Den gir beslutningsgrunnlag for penge- og kredittpolitikken bl.a. som viktig bidrag til kredittindikator, nasjonal- og utenriksregnskap og offisiell statistikk. Dataene benyttes ved internasjonal rapportering til BIS, Eurostat, IMF, OECD etc.</w:t>
      </w:r>
      <w:r w:rsidRPr="0013101C">
        <w:rPr>
          <w:rFonts w:ascii="Times New Roman" w:eastAsia="MS Gothic" w:hAnsi="Times New Roman" w:cs="Times New Roman"/>
          <w:color w:val="333333"/>
          <w:sz w:val="20"/>
          <w:szCs w:val="20"/>
          <w:lang w:eastAsia="nb-NO"/>
        </w:rPr>
        <w:t xml:space="preserve">　</w:t>
      </w:r>
    </w:p>
    <w:p w14:paraId="7996D2CF" w14:textId="412E7BC9" w:rsidR="00DE55D9" w:rsidRPr="00A34F26" w:rsidRDefault="00D27A3D" w:rsidP="00D27A3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333333"/>
          <w:sz w:val="38"/>
          <w:szCs w:val="38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nb-NO"/>
        </w:rPr>
        <w:t>N</w:t>
      </w:r>
      <w:r w:rsidR="00C26159">
        <w:rPr>
          <w:rFonts w:ascii="Times New Roman" w:eastAsia="Times New Roman" w:hAnsi="Times New Roman" w:cs="Times New Roman"/>
          <w:b/>
          <w:bCs/>
          <w:color w:val="333333"/>
          <w:lang w:eastAsia="nb-NO"/>
        </w:rPr>
        <w:t>ye koder for innskuddsgarantiordningen i rapportering</w:t>
      </w:r>
      <w:r w:rsidR="00CC68D0">
        <w:rPr>
          <w:rFonts w:ascii="Times New Roman" w:eastAsia="Times New Roman" w:hAnsi="Times New Roman" w:cs="Times New Roman"/>
          <w:b/>
          <w:bCs/>
          <w:color w:val="333333"/>
          <w:lang w:eastAsia="nb-NO"/>
        </w:rPr>
        <w:t xml:space="preserve"> fra bankene</w:t>
      </w:r>
      <w:r>
        <w:rPr>
          <w:rFonts w:ascii="Times New Roman" w:eastAsia="Times New Roman" w:hAnsi="Times New Roman" w:cs="Times New Roman"/>
          <w:b/>
          <w:bCs/>
          <w:color w:val="333333"/>
          <w:lang w:eastAsia="nb-NO"/>
        </w:rPr>
        <w:t xml:space="preserve"> </w:t>
      </w:r>
      <w:r w:rsidR="00DE55D9" w:rsidRPr="00DE5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f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.</w:t>
      </w:r>
      <w:r w:rsidR="00DE55D9" w:rsidRPr="00DE5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o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.m.</w:t>
      </w:r>
      <w:r w:rsidR="00DE55D9" w:rsidRPr="00DE5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 xml:space="preserve"> </w:t>
      </w:r>
      <w:r w:rsidR="005A33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1</w:t>
      </w:r>
      <w:r w:rsidR="00DE55D9" w:rsidRPr="00DE5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. kvartal 202</w:t>
      </w:r>
      <w:r w:rsidR="005A33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4</w:t>
      </w:r>
      <w:r w:rsidR="007A41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:</w:t>
      </w:r>
    </w:p>
    <w:p w14:paraId="02FF00B7" w14:textId="38A7E5C1" w:rsidR="00DE55D9" w:rsidRPr="000219D0" w:rsidRDefault="007A41C7" w:rsidP="00DE5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bookmarkStart w:id="0" w:name="_Hlk56510061"/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F</w:t>
      </w:r>
      <w:r w:rsidR="00DE55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ra og med 1. kvartal 202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4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innføres nye koder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for Innskuddsgarantiordningen 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og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alle 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gamle koder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under post 65 i rapport 12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blir samtidig ugyldige.</w:t>
      </w:r>
      <w:r w:rsidR="00053B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</w:t>
      </w:r>
      <w:r w:rsidR="00D27A3D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I</w:t>
      </w:r>
      <w:r w:rsidR="00053B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nnholdet i de nye kodene for innskuddsgarantiene er </w:t>
      </w:r>
      <w:r w:rsidR="00D27A3D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forskjellig fra de gamle</w:t>
      </w:r>
      <w:r w:rsidR="00053B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– se 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den nye </w:t>
      </w:r>
      <w:r w:rsidR="00053B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veiledningen for r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apport</w:t>
      </w:r>
      <w:r w:rsidR="00053B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12, post 65 og 66 og for r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apport</w:t>
      </w:r>
      <w:r w:rsidR="00053B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13, post 67.</w:t>
      </w:r>
      <w:r w:rsidR="00D14D78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De fleste nye postene </w:t>
      </w:r>
      <w:r w:rsidR="00D14D78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rapporteres etter 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enkelt</w:t>
      </w:r>
      <w:r w:rsidR="00D14D78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sektorer, 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noen også etter </w:t>
      </w:r>
      <w:r w:rsidR="00D14D78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land og valuta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(noen og etter valutaslag)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.</w:t>
      </w:r>
    </w:p>
    <w:p w14:paraId="0BCB24FB" w14:textId="7C92DD82" w:rsidR="00DE55D9" w:rsidRPr="000219D0" w:rsidRDefault="00DE55D9" w:rsidP="00DE55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 </w:t>
      </w:r>
      <w:r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>Rapport 1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>2</w:t>
      </w:r>
      <w:r w:rsidR="00D27A3D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 xml:space="preserve"> – </w:t>
      </w:r>
      <w:r w:rsidR="00D27A3D" w:rsidRPr="000219D0">
        <w:rPr>
          <w:rFonts w:ascii="Arial" w:eastAsia="Times New Roman" w:hAnsi="Arial" w:cs="Arial"/>
          <w:b/>
          <w:color w:val="333333"/>
          <w:sz w:val="18"/>
          <w:szCs w:val="18"/>
          <w:u w:val="single"/>
          <w:bdr w:val="none" w:sz="0" w:space="0" w:color="auto" w:frame="1"/>
          <w:lang w:eastAsia="nb-NO"/>
        </w:rPr>
        <w:t>koder som utgår</w:t>
      </w:r>
      <w:r w:rsidR="00D27A3D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 xml:space="preserve"> 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 xml:space="preserve">f.o.m. </w:t>
      </w:r>
      <w:r w:rsidR="00D27A3D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 xml:space="preserve">1. </w:t>
      </w:r>
      <w:proofErr w:type="spellStart"/>
      <w:r w:rsidR="00D27A3D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>kv</w:t>
      </w:r>
      <w:proofErr w:type="spellEnd"/>
      <w:r w:rsidR="00D27A3D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  <w:t>. 2024:</w:t>
      </w:r>
    </w:p>
    <w:p w14:paraId="3751F97B" w14:textId="6D084F75" w:rsidR="005A33D3" w:rsidRPr="000219D0" w:rsidRDefault="00DE55D9" w:rsidP="00DE55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Kode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65.0 01 6.00.01 Innskudd fullt dekket av den norske innskuddsgarantiord</w:t>
      </w:r>
      <w:r w:rsidR="0083667F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ingen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utgår og erstattes av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spesifikasjoner i r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apport 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13, post 67 (se nedenfor)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– som rapporteres av norske banker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.</w:t>
      </w:r>
    </w:p>
    <w:p w14:paraId="752C3B4F" w14:textId="458D2526" w:rsidR="00053BD9" w:rsidRPr="000219D0" w:rsidRDefault="005A33D3" w:rsidP="00DE55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Kode 65.0.01.6.00.03 Innskudd fullt dekket av EUs innskuddsgarantiordning utgår og erstattes av r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apport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12, kode 66 for NUF-er og 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av </w:t>
      </w:r>
      <w:r w:rsidR="00DA17A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enkelte underspesifikasjoner 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i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r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apport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13, kode 67 for norske banker</w:t>
      </w:r>
    </w:p>
    <w:p w14:paraId="0B566304" w14:textId="3E0006AA" w:rsidR="00DE55D9" w:rsidRPr="000219D0" w:rsidRDefault="00053BD9" w:rsidP="00DE55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Kodene 65.0.80.6.00.Antall innskytere, underpostene 01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,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02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, 03 og 04 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som gjelder innskudd fullt eller ikke fullt dekket av garantiordningene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, opphører og erstattes av nye koder i r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apport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12</w:t>
      </w:r>
      <w:r w:rsidR="007A41C7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post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ene </w:t>
      </w:r>
      <w:r w:rsidR="007A41C7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65, 66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r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apport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13</w:t>
      </w:r>
      <w:r w:rsidR="007A41C7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post 67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jf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.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spesifikasjonene 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nevnt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nedenfor</w:t>
      </w:r>
      <w:r w:rsidR="00A2031F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.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 </w:t>
      </w:r>
      <w:r w:rsidR="005A33D3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 </w:t>
      </w:r>
    </w:p>
    <w:p w14:paraId="78449DE5" w14:textId="77777777" w:rsidR="00DE55D9" w:rsidRPr="000219D0" w:rsidRDefault="00DE55D9" w:rsidP="00DE55D9">
      <w:p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</w:p>
    <w:p w14:paraId="7B6A58AB" w14:textId="105E0B3D" w:rsidR="00DE55D9" w:rsidRPr="000219D0" w:rsidRDefault="00DE55D9" w:rsidP="00DE55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da-DK"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>Rapport 12</w:t>
      </w:r>
      <w:r w:rsidR="00D27A3D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 xml:space="preserve"> – </w:t>
      </w:r>
      <w:r w:rsidR="00D27A3D" w:rsidRPr="000219D0">
        <w:rPr>
          <w:rFonts w:ascii="Arial" w:eastAsia="Times New Roman" w:hAnsi="Arial" w:cs="Arial"/>
          <w:b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>nye koder</w:t>
      </w:r>
      <w:r w:rsidR="00D27A3D"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 xml:space="preserve"> f.o.m. 1. kv. 2024</w:t>
      </w:r>
      <w:r w:rsidR="00A33663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>:</w:t>
      </w:r>
    </w:p>
    <w:bookmarkEnd w:id="0"/>
    <w:p w14:paraId="6721FC3B" w14:textId="08A8CFBC" w:rsidR="00A2031F" w:rsidRPr="000219D0" w:rsidRDefault="00A2031F" w:rsidP="007A41C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Norske banker skal kvartalsvis rapportere:</w:t>
      </w:r>
    </w:p>
    <w:p w14:paraId="44D48F08" w14:textId="41D46B7A" w:rsidR="00A2031F" w:rsidRPr="000219D0" w:rsidRDefault="00A2031F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65.0.01.6.00.10 Samlede innskudd på klientkonti</w:t>
      </w:r>
    </w:p>
    <w:p w14:paraId="419EF44C" w14:textId="4B3BDD91" w:rsidR="00A2031F" w:rsidRPr="000219D0" w:rsidRDefault="00A2031F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65.0.01.6.00.12 Innskudd på klientkonti, dekket av norsk innskuddsgarantiordning</w:t>
      </w:r>
    </w:p>
    <w:p w14:paraId="4C5DFD82" w14:textId="6AF39A76" w:rsidR="00A2031F" w:rsidRPr="000219D0" w:rsidRDefault="00A2031F" w:rsidP="007A41C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Norske banker skal årlig rapportere:</w:t>
      </w:r>
    </w:p>
    <w:p w14:paraId="16E9319B" w14:textId="01FE76AF" w:rsidR="00A2031F" w:rsidRPr="000219D0" w:rsidRDefault="00A2031F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65.0.01.6.00.15 Innskudd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,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dekket av EUs innskuddsgarantiordning </w:t>
      </w:r>
    </w:p>
    <w:p w14:paraId="73D54E19" w14:textId="59825EAC" w:rsidR="00A2031F" w:rsidRPr="000219D0" w:rsidRDefault="00A2031F" w:rsidP="007A41C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Norske filialer av utenlandske banker (NUF, norsk virksomhet) skal kvartalsvis rapportere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: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</w:t>
      </w:r>
    </w:p>
    <w:p w14:paraId="3C2E3A9B" w14:textId="1A1BD7B7" w:rsidR="00A2031F" w:rsidRPr="000219D0" w:rsidRDefault="00A2031F" w:rsidP="005C747C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66.0.01.6.00.01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03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,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Innskudd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,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dekket av 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hhv.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norsk 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og av</w:t>
      </w:r>
      <w:r w:rsidR="00A3619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EUs innskuddsgarantiordning</w:t>
      </w:r>
    </w:p>
    <w:p w14:paraId="64F4F649" w14:textId="37E4C56B" w:rsidR="00A36199" w:rsidRPr="000219D0" w:rsidRDefault="00A36199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66.0.01.6.00.09 Innskudd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,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dekket av norsk innskuddsgarantiordning ved topping up</w:t>
      </w:r>
    </w:p>
    <w:p w14:paraId="0A0F3085" w14:textId="5ADA8CE6" w:rsidR="00A36199" w:rsidRPr="000219D0" w:rsidRDefault="00A36199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66.0.80.6.00.01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02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,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Antall innskytere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, 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hhv.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fullt dekket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ikke fullt dekket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av norsk innskuddsgarantiordning</w:t>
      </w:r>
    </w:p>
    <w:p w14:paraId="7C565727" w14:textId="0D5C3CC3" w:rsidR="00A36199" w:rsidRPr="000219D0" w:rsidRDefault="00A36199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66.0.80.6.00.03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04</w:t>
      </w:r>
      <w:r w:rsid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,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Antall innskytere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,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hhv.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fullt dekket av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ikke fullt dekket av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EUs innskuddsgarantiordning</w:t>
      </w:r>
    </w:p>
    <w:p w14:paraId="3077F9B8" w14:textId="77777777" w:rsidR="00411009" w:rsidRPr="00DA17A0" w:rsidRDefault="00411009" w:rsidP="00D27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eastAsia="nb-NO"/>
        </w:rPr>
      </w:pPr>
    </w:p>
    <w:p w14:paraId="55EB116C" w14:textId="2693A9DB" w:rsidR="00D27A3D" w:rsidRPr="000219D0" w:rsidRDefault="00D27A3D" w:rsidP="00D27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da-DK"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 xml:space="preserve">Rapport 13 – </w:t>
      </w:r>
      <w:r w:rsidRPr="000219D0">
        <w:rPr>
          <w:rFonts w:ascii="Arial" w:eastAsia="Times New Roman" w:hAnsi="Arial" w:cs="Arial"/>
          <w:b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>nye koder</w:t>
      </w:r>
      <w:r w:rsidRPr="000219D0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 xml:space="preserve"> f.o.m. 1. kv. 2024</w:t>
      </w:r>
      <w:r w:rsidR="00A33663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  <w:lang w:val="da-DK" w:eastAsia="nb-NO"/>
        </w:rPr>
        <w:t>:</w:t>
      </w:r>
    </w:p>
    <w:p w14:paraId="78FBD460" w14:textId="2EA399D8" w:rsidR="00A36199" w:rsidRPr="000219D0" w:rsidRDefault="007A41C7" w:rsidP="002F076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Norske banker skal kvartalsvis rapportere kodene 67 </w:t>
      </w:r>
      <w:r w:rsidR="00A3619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etter sektor, land og valuta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dels etter valutaslag</w:t>
      </w:r>
      <w:r w:rsidR="00A3619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, etter om 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innskuddene gjøres </w:t>
      </w:r>
      <w:r w:rsidR="00A3619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i norsk del av banken, i den norske bankens utenlandske filialer eller gjennom grensekryssende virksomhet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inn til den norske banken:</w:t>
      </w:r>
    </w:p>
    <w:p w14:paraId="1B9A4B0E" w14:textId="39C0551A" w:rsidR="00A36199" w:rsidRPr="000219D0" w:rsidRDefault="00A36199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67.0.01.6.00.21 Innskudd dekket av norsk innskuddsgarantiordning, i norsk del av virksomheten</w:t>
      </w:r>
      <w:r w:rsidR="006A1564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(innskudd inntil 2.mill.kr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.)</w:t>
      </w:r>
    </w:p>
    <w:p w14:paraId="0F107A56" w14:textId="77C51B8F" w:rsidR="006A1564" w:rsidRPr="000219D0" w:rsidRDefault="006A1564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67.0.01.6.00.23 Innskudd dekket av norsk innskuddsgarantiordning, i utenlandsk filial av norsk bank (innskudd inntil 100.000 E</w:t>
      </w:r>
      <w:r w:rsidR="00A833EF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UR</w:t>
      </w:r>
      <w:r w:rsidR="0041100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)</w:t>
      </w:r>
    </w:p>
    <w:p w14:paraId="7A7218CB" w14:textId="55C2F7B1" w:rsidR="006A1564" w:rsidRPr="000219D0" w:rsidRDefault="006A1564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67.0.01.6.00.33 Innskudd dekket av norsk innskuddsgarantiordning, i grensekryssende virksomhet uten etablering (innskudd inntil 100.000 E</w:t>
      </w:r>
      <w:r w:rsidR="00A833EF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UR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) </w:t>
      </w:r>
    </w:p>
    <w:p w14:paraId="2105648A" w14:textId="0F421596" w:rsidR="006A1564" w:rsidRPr="000219D0" w:rsidRDefault="006A1564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67.0.80.6.00.21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og 22,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Antall innskytere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hhv.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fullt dekket av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og ikke fullt dekket av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norsk innskytergarantiordning, i norsk del av bankens virksomhet (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hhv.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innskudd inntil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/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over 2.mill.kr)</w:t>
      </w:r>
    </w:p>
    <w:p w14:paraId="55334F5A" w14:textId="5EF6A251" w:rsidR="00DB7196" w:rsidRPr="000219D0" w:rsidRDefault="00DB7196" w:rsidP="007A41C7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67.0.80.6.00.23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24,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Antall innskytere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hhv.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fullt dekket av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og ikke fullt dekket av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norsk innskuddsgarantiordning, i utenlandsk filial av norsk bank (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hhv.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innskudd inntil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/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og over 100.000 E</w:t>
      </w:r>
      <w:r w:rsidR="00A833EF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UR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)</w:t>
      </w:r>
    </w:p>
    <w:p w14:paraId="0CE47FEE" w14:textId="654C321B" w:rsidR="00DE55D9" w:rsidRDefault="00DB7196" w:rsidP="00BB53A8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67.0.80.6.00.33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og 34,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Antall innskytere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hhv.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fullt dekket av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og ikke fullt dekket av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norsk innskuddsgarantiordning, i grensekryssende virksomhet uten etablering (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hhv. 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innskudd inntil 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/ 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og over 100.00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E</w:t>
      </w:r>
      <w:r w:rsidR="00A833EF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UR</w:t>
      </w:r>
      <w:r w:rsidR="000219D0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)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</w:t>
      </w:r>
    </w:p>
    <w:p w14:paraId="2C7FDA7A" w14:textId="77777777" w:rsidR="00A33663" w:rsidRPr="000219D0" w:rsidRDefault="00A33663" w:rsidP="00A33663">
      <w:p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</w:p>
    <w:p w14:paraId="350C7C5E" w14:textId="0F609375" w:rsidR="00DE55D9" w:rsidRPr="000219D0" w:rsidRDefault="00DB7196" w:rsidP="00DE5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E</w:t>
      </w:r>
      <w:r w:rsidR="00DE55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ndringe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ne</w:t>
      </w:r>
      <w:r w:rsidR="00DE55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i kodelistene og </w:t>
      </w:r>
      <w:r w:rsidR="00A33663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i </w:t>
      </w:r>
      <w:r w:rsidR="00DE55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veiledningen er merket med </w:t>
      </w:r>
      <w:r w:rsidR="00DE55D9" w:rsidRPr="000219D0">
        <w:rPr>
          <w:rFonts w:ascii="Arial" w:eastAsia="Times New Roman" w:hAnsi="Arial" w:cs="Arial"/>
          <w:color w:val="333333"/>
          <w:sz w:val="18"/>
          <w:szCs w:val="18"/>
          <w:highlight w:val="yellow"/>
          <w:lang w:eastAsia="nb-NO"/>
        </w:rPr>
        <w:t>gult.</w:t>
      </w:r>
      <w:r w:rsidR="00DE55D9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</w:t>
      </w:r>
    </w:p>
    <w:p w14:paraId="3B0BF0C0" w14:textId="5286C676" w:rsidR="00DE55D9" w:rsidRPr="000219D0" w:rsidRDefault="00DE55D9" w:rsidP="00DE55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Rapporteringsmateriell som kodelister, veiledning, maler og feilkontrollnotat m.m. er tilgjengelig på </w:t>
      </w:r>
      <w:hyperlink r:id="rId6" w:history="1">
        <w:r w:rsidR="002A7A23" w:rsidRPr="00665FCB">
          <w:rPr>
            <w:rStyle w:val="Hyperkobling"/>
            <w:rFonts w:ascii="Arial" w:eastAsia="Times New Roman" w:hAnsi="Arial" w:cs="Arial"/>
            <w:sz w:val="18"/>
            <w:szCs w:val="18"/>
            <w:bdr w:val="none" w:sz="0" w:space="0" w:color="auto" w:frame="1"/>
            <w:lang w:eastAsia="nb-NO"/>
          </w:rPr>
          <w:t>https://www.ssb.no/innrapportering/orbof</w:t>
        </w:r>
      </w:hyperlink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 </w:t>
      </w:r>
      <w:r w:rsidR="00DB7196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under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arkfanen </w:t>
      </w:r>
      <w:r w:rsidR="00DB7196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«</w:t>
      </w:r>
      <w:r w:rsidR="00DA17A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Rapporteringsmateriell</w:t>
      </w:r>
      <w:r w:rsidR="00DB7196"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»</w:t>
      </w:r>
      <w:r w:rsidRPr="000219D0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.</w:t>
      </w:r>
    </w:p>
    <w:p w14:paraId="541FBDFB" w14:textId="77777777" w:rsidR="00DE55D9" w:rsidRPr="000219D0" w:rsidRDefault="00DE55D9" w:rsidP="0013101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nb-NO"/>
        </w:rPr>
      </w:pPr>
    </w:p>
    <w:p w14:paraId="60C823EB" w14:textId="1D02C436" w:rsidR="0013101C" w:rsidRPr="002A7A23" w:rsidRDefault="00DA17A0" w:rsidP="0013101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2A7A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lastRenderedPageBreak/>
        <w:t>Innrapportering:</w:t>
      </w:r>
    </w:p>
    <w:p w14:paraId="6B8CD655" w14:textId="2D5DB211" w:rsidR="0013101C" w:rsidRPr="0013101C" w:rsidRDefault="0013101C" w:rsidP="00DA17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</w:pPr>
      <w:r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De</w:t>
      </w:r>
      <w:r w:rsidR="00DA17A0"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nye spesifikasjonene</w:t>
      </w:r>
      <w:r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rapportere</w:t>
      </w:r>
      <w:r w:rsidR="00DA17A0"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s</w:t>
      </w:r>
      <w:r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elektronisk </w:t>
      </w:r>
      <w:r w:rsidR="006E0212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i</w:t>
      </w:r>
      <w:r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A</w:t>
      </w:r>
      <w:proofErr w:type="spellStart"/>
      <w:r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ltinn</w:t>
      </w:r>
      <w:proofErr w:type="spellEnd"/>
      <w:r w:rsidR="00DA17A0"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</w:t>
      </w:r>
      <w:r w:rsid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via vedlegg, enten fra egengenerert tekstfil eller tekstfil </w:t>
      </w:r>
      <w:r w:rsidR="006E0212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fra</w:t>
      </w:r>
      <w:r w:rsid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</w:t>
      </w:r>
      <w:proofErr w:type="spellStart"/>
      <w:r w:rsid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Excelmalene</w:t>
      </w:r>
      <w:proofErr w:type="spellEnd"/>
      <w:r w:rsid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som er tilgjengelig på SSBs innrapporteringssider</w:t>
      </w:r>
      <w:r w:rsidR="00DA17A0"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.</w:t>
      </w:r>
      <w:r w:rsidRPr="002A7A2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</w:t>
      </w:r>
    </w:p>
    <w:p w14:paraId="15077CBC" w14:textId="361E41C5" w:rsidR="0013101C" w:rsidRPr="00E85D8B" w:rsidRDefault="0013101C" w:rsidP="0013101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E85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 xml:space="preserve">Informasjon </w:t>
      </w:r>
      <w:r w:rsidR="00DB7196" w:rsidRPr="00E85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 xml:space="preserve">om tidsfrister: </w:t>
      </w:r>
    </w:p>
    <w:p w14:paraId="4971803A" w14:textId="3B9EB4B1" w:rsidR="00DB7196" w:rsidRDefault="00DB7196" w:rsidP="0013101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De nye kodene i rapport 12, post 65 og 66 samt i rapport 13, post 67 har frist 20 dager etter kvartalets utløp.</w:t>
      </w:r>
      <w:r w:rsidR="00596D7B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br/>
      </w:r>
      <w:proofErr w:type="spellStart"/>
      <w:r w:rsidR="006E7120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Årsdata</w:t>
      </w:r>
      <w:proofErr w:type="spellEnd"/>
      <w:r w:rsidR="006E7120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for rapport 12, i post 65 for norske banker, har frist 30 dager</w:t>
      </w:r>
      <w:r w:rsidR="00A3366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.</w:t>
      </w:r>
    </w:p>
    <w:p w14:paraId="164DAAD5" w14:textId="691CC823" w:rsidR="0013101C" w:rsidRPr="0013101C" w:rsidRDefault="006E7120" w:rsidP="0013101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B</w:t>
      </w:r>
      <w:r w:rsidR="0013101C" w:rsidRPr="0013101C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are å ta kontakt </w:t>
      </w:r>
      <w:r w:rsidR="0076403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på </w:t>
      </w:r>
      <w:hyperlink r:id="rId7" w:history="1">
        <w:r w:rsidR="00764033" w:rsidRPr="004B621E">
          <w:rPr>
            <w:rStyle w:val="Hyperkobling"/>
            <w:rFonts w:ascii="Times New Roman" w:eastAsia="Times New Roman" w:hAnsi="Times New Roman" w:cs="Times New Roman"/>
            <w:sz w:val="20"/>
            <w:szCs w:val="20"/>
            <w:lang w:eastAsia="nb-NO"/>
          </w:rPr>
          <w:t>innfin@ssb.no</w:t>
        </w:r>
      </w:hyperlink>
      <w:r w:rsidR="00764033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</w:t>
      </w:r>
      <w:r w:rsidR="0013101C" w:rsidRPr="0013101C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for eventuelle spørsmål.</w:t>
      </w:r>
    </w:p>
    <w:p w14:paraId="3C9F595D" w14:textId="77777777" w:rsidR="00DA17A0" w:rsidRDefault="00DA17A0"/>
    <w:sectPr w:rsidR="00DA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E3D"/>
    <w:multiLevelType w:val="multilevel"/>
    <w:tmpl w:val="3C2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D5EBC"/>
    <w:multiLevelType w:val="multilevel"/>
    <w:tmpl w:val="2E68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E76115"/>
    <w:multiLevelType w:val="hybridMultilevel"/>
    <w:tmpl w:val="D1F8A1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56E8D"/>
    <w:multiLevelType w:val="multilevel"/>
    <w:tmpl w:val="A82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775451">
    <w:abstractNumId w:val="1"/>
  </w:num>
  <w:num w:numId="2" w16cid:durableId="322317095">
    <w:abstractNumId w:val="2"/>
  </w:num>
  <w:num w:numId="3" w16cid:durableId="1369522823">
    <w:abstractNumId w:val="0"/>
  </w:num>
  <w:num w:numId="4" w16cid:durableId="752556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1C"/>
    <w:rsid w:val="000219D0"/>
    <w:rsid w:val="00053BD9"/>
    <w:rsid w:val="00111D28"/>
    <w:rsid w:val="0013101C"/>
    <w:rsid w:val="00250724"/>
    <w:rsid w:val="0028632A"/>
    <w:rsid w:val="002A7A23"/>
    <w:rsid w:val="00411009"/>
    <w:rsid w:val="004B68AF"/>
    <w:rsid w:val="004E0FC5"/>
    <w:rsid w:val="00596D7B"/>
    <w:rsid w:val="005A33D3"/>
    <w:rsid w:val="005A769B"/>
    <w:rsid w:val="005C1976"/>
    <w:rsid w:val="006616C7"/>
    <w:rsid w:val="006A1564"/>
    <w:rsid w:val="006E0212"/>
    <w:rsid w:val="006E7120"/>
    <w:rsid w:val="00764033"/>
    <w:rsid w:val="007756A0"/>
    <w:rsid w:val="007A41C7"/>
    <w:rsid w:val="00835DCA"/>
    <w:rsid w:val="0083667F"/>
    <w:rsid w:val="00A2031F"/>
    <w:rsid w:val="00A33663"/>
    <w:rsid w:val="00A36199"/>
    <w:rsid w:val="00A833EF"/>
    <w:rsid w:val="00B65CCB"/>
    <w:rsid w:val="00C02A6F"/>
    <w:rsid w:val="00C118EF"/>
    <w:rsid w:val="00C26159"/>
    <w:rsid w:val="00CC68D0"/>
    <w:rsid w:val="00D14D78"/>
    <w:rsid w:val="00D27A3D"/>
    <w:rsid w:val="00D70F39"/>
    <w:rsid w:val="00DA17A0"/>
    <w:rsid w:val="00DA414B"/>
    <w:rsid w:val="00DB7196"/>
    <w:rsid w:val="00DD6B2D"/>
    <w:rsid w:val="00DE55D9"/>
    <w:rsid w:val="00E14F2D"/>
    <w:rsid w:val="00E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E39A"/>
  <w15:chartTrackingRefBased/>
  <w15:docId w15:val="{64E378DF-616D-4422-A4F9-D0A2820E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2A6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C197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1976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1976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83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nfin@ssb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sb.no/innrapportering/orb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5610-1F72-43E8-A1AA-F7FBBFC2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Fagereng, Nina</dc:creator>
  <cp:keywords/>
  <dc:description/>
  <cp:lastModifiedBy>Pålsson, Victoria</cp:lastModifiedBy>
  <cp:revision>6</cp:revision>
  <dcterms:created xsi:type="dcterms:W3CDTF">2023-10-27T11:46:00Z</dcterms:created>
  <dcterms:modified xsi:type="dcterms:W3CDTF">2023-10-27T11:49:00Z</dcterms:modified>
</cp:coreProperties>
</file>